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C791" w14:textId="77777777" w:rsidR="008C4A3F" w:rsidRDefault="008C4A3F" w:rsidP="00A619EB">
      <w:pPr>
        <w:pStyle w:val="Title"/>
        <w:rPr>
          <w:rFonts w:asciiTheme="minorHAnsi" w:hAnsiTheme="minorHAnsi" w:cstheme="minorHAnsi"/>
          <w:sz w:val="24"/>
          <w:szCs w:val="24"/>
        </w:rPr>
      </w:pPr>
      <w:r w:rsidRPr="00F45C77">
        <w:rPr>
          <w:rStyle w:val="Emphasis"/>
          <w:rFonts w:ascii="Calibri" w:hAnsi="Calibri"/>
          <w:color w:val="000000"/>
          <w:sz w:val="24"/>
          <w:szCs w:val="24"/>
        </w:rPr>
        <w:t>Wyre Forest Health Partnership; working together across five sites, one valued and committed team, combining innovation and integrity to provide the best possible quality of care for our</w:t>
      </w:r>
      <w:r>
        <w:rPr>
          <w:rStyle w:val="Emphasis"/>
          <w:rFonts w:ascii="Calibri" w:hAnsi="Calibri"/>
          <w:color w:val="000000"/>
          <w:sz w:val="24"/>
          <w:szCs w:val="24"/>
        </w:rPr>
        <w:t xml:space="preserve"> ..</w:t>
      </w:r>
    </w:p>
    <w:p w14:paraId="6968B8B3" w14:textId="77777777" w:rsidR="008C4A3F" w:rsidRDefault="008C4A3F" w:rsidP="00A619EB">
      <w:pPr>
        <w:pStyle w:val="Title"/>
        <w:rPr>
          <w:rFonts w:asciiTheme="minorHAnsi" w:hAnsiTheme="minorHAnsi" w:cstheme="minorHAnsi"/>
          <w:sz w:val="24"/>
          <w:szCs w:val="24"/>
        </w:rPr>
      </w:pPr>
    </w:p>
    <w:p w14:paraId="71829F9E"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B325328"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2093"/>
        <w:gridCol w:w="4853"/>
      </w:tblGrid>
      <w:tr w:rsidR="00854AFF" w:rsidRPr="00956F2E" w14:paraId="397572B4" w14:textId="77777777" w:rsidTr="00956F2E">
        <w:trPr>
          <w:jc w:val="center"/>
        </w:trPr>
        <w:tc>
          <w:tcPr>
            <w:tcW w:w="2093" w:type="dxa"/>
            <w:shd w:val="clear" w:color="auto" w:fill="D0E6F6" w:themeFill="accent6" w:themeFillTint="33"/>
          </w:tcPr>
          <w:p w14:paraId="14ACE898"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4853" w:type="dxa"/>
            <w:shd w:val="clear" w:color="auto" w:fill="D0E6F6" w:themeFill="accent6" w:themeFillTint="33"/>
          </w:tcPr>
          <w:p w14:paraId="4863D880" w14:textId="77777777" w:rsidR="00854AFF" w:rsidRPr="00956F2E" w:rsidRDefault="009B6362" w:rsidP="00A619EB">
            <w:pPr>
              <w:tabs>
                <w:tab w:val="left" w:pos="2835"/>
              </w:tabs>
              <w:rPr>
                <w:rFonts w:cstheme="minorHAnsi"/>
                <w:b/>
                <w:sz w:val="24"/>
                <w:szCs w:val="24"/>
              </w:rPr>
            </w:pPr>
            <w:r>
              <w:rPr>
                <w:rFonts w:cstheme="minorHAnsi"/>
                <w:b/>
                <w:sz w:val="24"/>
                <w:szCs w:val="24"/>
              </w:rPr>
              <w:t xml:space="preserve">Care Co-Ordinator - </w:t>
            </w:r>
            <w:r w:rsidR="007E1DFD">
              <w:rPr>
                <w:rFonts w:cstheme="minorHAnsi"/>
                <w:b/>
                <w:sz w:val="24"/>
                <w:szCs w:val="24"/>
              </w:rPr>
              <w:t>Diabetes</w:t>
            </w:r>
          </w:p>
        </w:tc>
      </w:tr>
      <w:tr w:rsidR="00854AFF" w:rsidRPr="00956F2E" w14:paraId="4530B065" w14:textId="77777777" w:rsidTr="00956F2E">
        <w:trPr>
          <w:jc w:val="center"/>
        </w:trPr>
        <w:tc>
          <w:tcPr>
            <w:tcW w:w="2093" w:type="dxa"/>
            <w:shd w:val="clear" w:color="auto" w:fill="D0E6F6" w:themeFill="accent6" w:themeFillTint="33"/>
          </w:tcPr>
          <w:p w14:paraId="69BE32D0"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40B04415" w14:textId="77777777" w:rsidR="00854AFF" w:rsidRPr="00956F2E" w:rsidRDefault="00854AFF" w:rsidP="00A619EB">
            <w:pPr>
              <w:tabs>
                <w:tab w:val="left" w:pos="2835"/>
              </w:tabs>
              <w:rPr>
                <w:rFonts w:cstheme="minorHAnsi"/>
                <w:b/>
                <w:sz w:val="24"/>
                <w:szCs w:val="24"/>
              </w:rPr>
            </w:pPr>
          </w:p>
        </w:tc>
      </w:tr>
      <w:tr w:rsidR="00854AFF" w:rsidRPr="00956F2E" w14:paraId="4105A4A1" w14:textId="77777777" w:rsidTr="00956F2E">
        <w:trPr>
          <w:jc w:val="center"/>
        </w:trPr>
        <w:tc>
          <w:tcPr>
            <w:tcW w:w="2093" w:type="dxa"/>
            <w:shd w:val="clear" w:color="auto" w:fill="D0E6F6" w:themeFill="accent6" w:themeFillTint="33"/>
          </w:tcPr>
          <w:p w14:paraId="77EBF991"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4853" w:type="dxa"/>
            <w:shd w:val="clear" w:color="auto" w:fill="D0E6F6" w:themeFill="accent6" w:themeFillTint="33"/>
          </w:tcPr>
          <w:p w14:paraId="32D21894" w14:textId="77777777" w:rsidR="00854AFF" w:rsidRPr="00956F2E" w:rsidRDefault="009B6362" w:rsidP="00A619EB">
            <w:pPr>
              <w:tabs>
                <w:tab w:val="left" w:pos="2835"/>
              </w:tabs>
              <w:rPr>
                <w:rFonts w:cstheme="minorHAnsi"/>
                <w:b/>
                <w:sz w:val="24"/>
                <w:szCs w:val="24"/>
              </w:rPr>
            </w:pPr>
            <w:r>
              <w:rPr>
                <w:rFonts w:cstheme="minorHAnsi"/>
                <w:b/>
                <w:sz w:val="24"/>
                <w:szCs w:val="24"/>
              </w:rPr>
              <w:t>PCN Team Leader</w:t>
            </w:r>
          </w:p>
        </w:tc>
      </w:tr>
      <w:tr w:rsidR="00854AFF" w:rsidRPr="00956F2E" w14:paraId="266B48A2" w14:textId="77777777" w:rsidTr="00956F2E">
        <w:trPr>
          <w:jc w:val="center"/>
        </w:trPr>
        <w:tc>
          <w:tcPr>
            <w:tcW w:w="2093" w:type="dxa"/>
            <w:shd w:val="clear" w:color="auto" w:fill="D0E6F6" w:themeFill="accent6" w:themeFillTint="33"/>
          </w:tcPr>
          <w:p w14:paraId="10899D8A"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0A6D83F0" w14:textId="77777777" w:rsidR="00854AFF" w:rsidRPr="00956F2E" w:rsidRDefault="00854AFF" w:rsidP="00A619EB">
            <w:pPr>
              <w:tabs>
                <w:tab w:val="left" w:pos="2835"/>
              </w:tabs>
              <w:rPr>
                <w:rFonts w:cstheme="minorHAnsi"/>
                <w:b/>
                <w:sz w:val="24"/>
                <w:szCs w:val="24"/>
              </w:rPr>
            </w:pPr>
          </w:p>
        </w:tc>
      </w:tr>
      <w:tr w:rsidR="00854AFF" w:rsidRPr="00956F2E" w14:paraId="2B6976EE" w14:textId="77777777" w:rsidTr="00956F2E">
        <w:trPr>
          <w:jc w:val="center"/>
        </w:trPr>
        <w:tc>
          <w:tcPr>
            <w:tcW w:w="2093" w:type="dxa"/>
            <w:shd w:val="clear" w:color="auto" w:fill="D0E6F6" w:themeFill="accent6" w:themeFillTint="33"/>
          </w:tcPr>
          <w:p w14:paraId="7CCE3C6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4853" w:type="dxa"/>
            <w:shd w:val="clear" w:color="auto" w:fill="D0E6F6" w:themeFill="accent6" w:themeFillTint="33"/>
          </w:tcPr>
          <w:p w14:paraId="0EF0152F" w14:textId="77777777" w:rsidR="00854AFF" w:rsidRPr="00956F2E" w:rsidRDefault="009B6362" w:rsidP="00A619EB">
            <w:pPr>
              <w:tabs>
                <w:tab w:val="left" w:pos="2835"/>
              </w:tabs>
              <w:rPr>
                <w:rFonts w:cstheme="minorHAnsi"/>
                <w:b/>
                <w:sz w:val="24"/>
                <w:szCs w:val="24"/>
              </w:rPr>
            </w:pPr>
            <w:r>
              <w:rPr>
                <w:rFonts w:cstheme="minorHAnsi"/>
                <w:b/>
                <w:sz w:val="24"/>
                <w:szCs w:val="24"/>
              </w:rPr>
              <w:t>WFHP Wide</w:t>
            </w:r>
          </w:p>
        </w:tc>
      </w:tr>
      <w:tr w:rsidR="00854AFF" w:rsidRPr="00956F2E" w14:paraId="641B009E" w14:textId="77777777" w:rsidTr="00956F2E">
        <w:trPr>
          <w:jc w:val="center"/>
        </w:trPr>
        <w:tc>
          <w:tcPr>
            <w:tcW w:w="2093" w:type="dxa"/>
            <w:shd w:val="clear" w:color="auto" w:fill="D0E6F6" w:themeFill="accent6" w:themeFillTint="33"/>
          </w:tcPr>
          <w:p w14:paraId="08044D8C"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281FB978" w14:textId="77777777" w:rsidR="00854AFF" w:rsidRPr="00956F2E" w:rsidRDefault="00854AFF" w:rsidP="00A619EB">
            <w:pPr>
              <w:tabs>
                <w:tab w:val="left" w:pos="2835"/>
              </w:tabs>
              <w:rPr>
                <w:rFonts w:cstheme="minorHAnsi"/>
                <w:b/>
                <w:sz w:val="24"/>
                <w:szCs w:val="24"/>
              </w:rPr>
            </w:pPr>
          </w:p>
        </w:tc>
      </w:tr>
      <w:tr w:rsidR="00854AFF" w:rsidRPr="00956F2E" w14:paraId="084B1D5C" w14:textId="77777777" w:rsidTr="00956F2E">
        <w:trPr>
          <w:jc w:val="center"/>
        </w:trPr>
        <w:tc>
          <w:tcPr>
            <w:tcW w:w="2093" w:type="dxa"/>
            <w:shd w:val="clear" w:color="auto" w:fill="D0E6F6" w:themeFill="accent6" w:themeFillTint="33"/>
          </w:tcPr>
          <w:p w14:paraId="7AF386EF"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4853" w:type="dxa"/>
            <w:shd w:val="clear" w:color="auto" w:fill="D0E6F6" w:themeFill="accent6" w:themeFillTint="33"/>
          </w:tcPr>
          <w:p w14:paraId="6B8C8159" w14:textId="77777777" w:rsidR="00854AFF" w:rsidRPr="00956F2E" w:rsidRDefault="00DB5515" w:rsidP="00A619EB">
            <w:pPr>
              <w:tabs>
                <w:tab w:val="left" w:pos="2835"/>
              </w:tabs>
              <w:rPr>
                <w:rFonts w:cstheme="minorHAnsi"/>
                <w:b/>
                <w:sz w:val="24"/>
                <w:szCs w:val="24"/>
              </w:rPr>
            </w:pPr>
            <w:r>
              <w:rPr>
                <w:rFonts w:cstheme="minorHAnsi"/>
                <w:b/>
                <w:sz w:val="24"/>
                <w:szCs w:val="24"/>
              </w:rPr>
              <w:t>37 hours per week</w:t>
            </w:r>
            <w:r w:rsidR="009B6362">
              <w:rPr>
                <w:rFonts w:cstheme="minorHAnsi"/>
                <w:b/>
                <w:sz w:val="24"/>
                <w:szCs w:val="24"/>
              </w:rPr>
              <w:t xml:space="preserve"> (part time considered)</w:t>
            </w:r>
          </w:p>
        </w:tc>
      </w:tr>
      <w:tr w:rsidR="00854AFF" w:rsidRPr="00956F2E" w14:paraId="43DCF326" w14:textId="77777777" w:rsidTr="00956F2E">
        <w:trPr>
          <w:jc w:val="center"/>
        </w:trPr>
        <w:tc>
          <w:tcPr>
            <w:tcW w:w="2093" w:type="dxa"/>
            <w:shd w:val="clear" w:color="auto" w:fill="D0E6F6" w:themeFill="accent6" w:themeFillTint="33"/>
          </w:tcPr>
          <w:p w14:paraId="44B206CC"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7CBB98AC" w14:textId="77777777" w:rsidR="00854AFF" w:rsidRPr="00956F2E" w:rsidRDefault="00854AFF" w:rsidP="00A619EB">
            <w:pPr>
              <w:tabs>
                <w:tab w:val="left" w:pos="2835"/>
              </w:tabs>
              <w:rPr>
                <w:rFonts w:cstheme="minorHAnsi"/>
                <w:b/>
                <w:sz w:val="24"/>
                <w:szCs w:val="24"/>
              </w:rPr>
            </w:pPr>
          </w:p>
        </w:tc>
      </w:tr>
      <w:tr w:rsidR="00854AFF" w:rsidRPr="00956F2E" w14:paraId="6DE5DFB3" w14:textId="77777777" w:rsidTr="00956F2E">
        <w:trPr>
          <w:jc w:val="center"/>
        </w:trPr>
        <w:tc>
          <w:tcPr>
            <w:tcW w:w="2093" w:type="dxa"/>
            <w:shd w:val="clear" w:color="auto" w:fill="D0E6F6" w:themeFill="accent6" w:themeFillTint="33"/>
          </w:tcPr>
          <w:p w14:paraId="0E68CB9B"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4853" w:type="dxa"/>
            <w:shd w:val="clear" w:color="auto" w:fill="D0E6F6" w:themeFill="accent6" w:themeFillTint="33"/>
          </w:tcPr>
          <w:p w14:paraId="6557A1C5" w14:textId="77777777" w:rsidR="00854AFF" w:rsidRPr="00956F2E" w:rsidRDefault="007E1DFD" w:rsidP="00A619EB">
            <w:pPr>
              <w:tabs>
                <w:tab w:val="left" w:pos="2835"/>
              </w:tabs>
              <w:rPr>
                <w:rFonts w:cstheme="minorHAnsi"/>
                <w:b/>
                <w:sz w:val="24"/>
                <w:szCs w:val="24"/>
              </w:rPr>
            </w:pPr>
            <w:r>
              <w:rPr>
                <w:rFonts w:cstheme="minorHAnsi"/>
                <w:b/>
                <w:sz w:val="24"/>
                <w:szCs w:val="24"/>
              </w:rPr>
              <w:t>£11.55 - £12.95 per hour</w:t>
            </w:r>
          </w:p>
        </w:tc>
      </w:tr>
      <w:tr w:rsidR="00854AFF" w:rsidRPr="00956F2E" w14:paraId="2AB7524C" w14:textId="77777777" w:rsidTr="00956F2E">
        <w:trPr>
          <w:jc w:val="center"/>
        </w:trPr>
        <w:tc>
          <w:tcPr>
            <w:tcW w:w="2093" w:type="dxa"/>
            <w:shd w:val="clear" w:color="auto" w:fill="D0E6F6" w:themeFill="accent6" w:themeFillTint="33"/>
          </w:tcPr>
          <w:p w14:paraId="26C3CDC4"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40B995DF" w14:textId="77777777" w:rsidR="00854AFF" w:rsidRPr="00956F2E" w:rsidRDefault="00854AFF" w:rsidP="00A619EB">
            <w:pPr>
              <w:tabs>
                <w:tab w:val="left" w:pos="2835"/>
              </w:tabs>
              <w:rPr>
                <w:rFonts w:cstheme="minorHAnsi"/>
                <w:b/>
                <w:sz w:val="24"/>
                <w:szCs w:val="24"/>
              </w:rPr>
            </w:pPr>
          </w:p>
        </w:tc>
      </w:tr>
    </w:tbl>
    <w:p w14:paraId="55DCEF9F"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10060"/>
      </w:tblGrid>
      <w:tr w:rsidR="008C4A3F" w14:paraId="204D985E" w14:textId="77777777" w:rsidTr="007E1DFD">
        <w:tc>
          <w:tcPr>
            <w:tcW w:w="10060" w:type="dxa"/>
            <w:shd w:val="clear" w:color="auto" w:fill="A3CEED" w:themeFill="accent6" w:themeFillTint="66"/>
          </w:tcPr>
          <w:p w14:paraId="17E18194" w14:textId="77777777" w:rsidR="008C4A3F" w:rsidRDefault="008C4A3F" w:rsidP="00042133">
            <w:pPr>
              <w:jc w:val="center"/>
              <w:rPr>
                <w:rFonts w:cstheme="minorHAnsi"/>
                <w:b/>
                <w:sz w:val="24"/>
                <w:szCs w:val="24"/>
                <w:u w:val="single"/>
              </w:rPr>
            </w:pPr>
            <w:r>
              <w:rPr>
                <w:rFonts w:cstheme="minorHAnsi"/>
                <w:b/>
                <w:sz w:val="24"/>
                <w:szCs w:val="24"/>
                <w:u w:val="single"/>
              </w:rPr>
              <w:t>Job Summary</w:t>
            </w:r>
          </w:p>
          <w:p w14:paraId="4134C3F0" w14:textId="77777777" w:rsidR="00C62626" w:rsidRDefault="00C62626" w:rsidP="00042133">
            <w:pPr>
              <w:jc w:val="center"/>
              <w:rPr>
                <w:rFonts w:cstheme="minorHAnsi"/>
                <w:b/>
                <w:sz w:val="24"/>
                <w:szCs w:val="24"/>
                <w:u w:val="single"/>
              </w:rPr>
            </w:pPr>
          </w:p>
        </w:tc>
      </w:tr>
      <w:tr w:rsidR="00AB2701" w:rsidRPr="00AB2701" w14:paraId="1003870E" w14:textId="77777777" w:rsidTr="007E1DFD">
        <w:tc>
          <w:tcPr>
            <w:tcW w:w="10060" w:type="dxa"/>
          </w:tcPr>
          <w:p w14:paraId="5BDB213E" w14:textId="77777777" w:rsidR="007E1DFD" w:rsidRPr="007E1DFD" w:rsidRDefault="00DD6678" w:rsidP="007E1DFD">
            <w:pPr>
              <w:pStyle w:val="Default"/>
              <w:spacing w:after="68" w:line="276" w:lineRule="auto"/>
              <w:rPr>
                <w:rFonts w:asciiTheme="minorHAnsi" w:hAnsiTheme="minorHAnsi" w:cstheme="minorHAnsi"/>
                <w:color w:val="000000" w:themeColor="text1"/>
              </w:rPr>
            </w:pPr>
            <w:r w:rsidRPr="007E1DFD">
              <w:rPr>
                <w:rFonts w:asciiTheme="minorHAnsi" w:hAnsiTheme="minorHAnsi" w:cstheme="minorHAnsi"/>
              </w:rPr>
              <w:t xml:space="preserve">The </w:t>
            </w:r>
            <w:r w:rsidR="007E1DFD" w:rsidRPr="007E1DFD">
              <w:rPr>
                <w:rFonts w:asciiTheme="minorHAnsi" w:hAnsiTheme="minorHAnsi" w:cstheme="minorHAnsi"/>
              </w:rPr>
              <w:t xml:space="preserve">care co-ordinator for Diabetes will take a leading role in developing integrated care for patients with a Type 1 or Type 2 diabetes diagnosis </w:t>
            </w:r>
            <w:r w:rsidR="007E1DFD" w:rsidRPr="007E1DFD">
              <w:rPr>
                <w:rFonts w:asciiTheme="minorHAnsi" w:hAnsiTheme="minorHAnsi" w:cstheme="minorHAnsi"/>
                <w:color w:val="000000" w:themeColor="text1"/>
              </w:rPr>
              <w:t>across the Wyre Forest area. Main duties will include:</w:t>
            </w:r>
          </w:p>
          <w:p w14:paraId="0097323A" w14:textId="77777777" w:rsidR="007E1DFD" w:rsidRPr="007E1DFD" w:rsidRDefault="007E1DFD" w:rsidP="007E1DFD">
            <w:pPr>
              <w:pStyle w:val="Default"/>
              <w:numPr>
                <w:ilvl w:val="0"/>
                <w:numId w:val="25"/>
              </w:numPr>
              <w:spacing w:after="68" w:line="276" w:lineRule="auto"/>
              <w:rPr>
                <w:rFonts w:asciiTheme="minorHAnsi" w:hAnsiTheme="minorHAnsi" w:cstheme="minorHAnsi"/>
              </w:rPr>
            </w:pPr>
            <w:r w:rsidRPr="007E1DFD">
              <w:rPr>
                <w:rFonts w:asciiTheme="minorHAnsi" w:hAnsiTheme="minorHAnsi" w:cstheme="minorHAnsi"/>
                <w:color w:val="000000" w:themeColor="text1"/>
              </w:rPr>
              <w:t xml:space="preserve">Work with GPs and other primary care professionals to identify, </w:t>
            </w:r>
            <w:r w:rsidRPr="007E1DFD">
              <w:rPr>
                <w:rFonts w:asciiTheme="minorHAnsi" w:hAnsiTheme="minorHAnsi" w:cstheme="minorHAnsi"/>
              </w:rPr>
              <w:t xml:space="preserve">manage and prioritise a caseload of patients in accordance with needs and, where required and as appropriate, refer people back to other health professionals within the PCN. </w:t>
            </w:r>
          </w:p>
          <w:p w14:paraId="436E815C" w14:textId="77777777" w:rsidR="007E1DFD" w:rsidRPr="007E1DFD" w:rsidRDefault="007E1DFD" w:rsidP="007E1DFD">
            <w:pPr>
              <w:pStyle w:val="Default"/>
              <w:numPr>
                <w:ilvl w:val="0"/>
                <w:numId w:val="25"/>
              </w:numPr>
              <w:spacing w:after="68" w:line="276" w:lineRule="auto"/>
              <w:rPr>
                <w:rFonts w:asciiTheme="minorHAnsi" w:hAnsiTheme="minorHAnsi" w:cstheme="minorHAnsi"/>
                <w:color w:val="auto"/>
              </w:rPr>
            </w:pPr>
            <w:r w:rsidRPr="007E1DFD">
              <w:rPr>
                <w:rFonts w:asciiTheme="minorHAnsi" w:hAnsiTheme="minorHAnsi" w:cstheme="minorHAnsi"/>
              </w:rPr>
              <w:t xml:space="preserve">Act as a building block for diabetes care by co-operating with other service providers to share information, jointly plan care and provide a streamlined, integrated service and to reduce variations in service delivery in adherence with confidentiality and data protection </w:t>
            </w:r>
            <w:r w:rsidRPr="007E1DFD">
              <w:rPr>
                <w:rFonts w:asciiTheme="minorHAnsi" w:hAnsiTheme="minorHAnsi" w:cstheme="minorHAnsi"/>
                <w:color w:val="auto"/>
              </w:rPr>
              <w:t>legislation and data sharing agreements.</w:t>
            </w:r>
          </w:p>
          <w:p w14:paraId="0165794C" w14:textId="77777777" w:rsidR="007E1DFD" w:rsidRPr="007E1DFD" w:rsidRDefault="007E1DFD" w:rsidP="007E1DFD">
            <w:pPr>
              <w:pStyle w:val="Default"/>
              <w:numPr>
                <w:ilvl w:val="0"/>
                <w:numId w:val="25"/>
              </w:numPr>
              <w:spacing w:after="68" w:line="276" w:lineRule="auto"/>
              <w:rPr>
                <w:rFonts w:asciiTheme="minorHAnsi" w:hAnsiTheme="minorHAnsi" w:cstheme="minorHAnsi"/>
                <w:color w:val="auto"/>
              </w:rPr>
            </w:pPr>
            <w:r w:rsidRPr="007E1DFD">
              <w:rPr>
                <w:rFonts w:asciiTheme="minorHAnsi" w:hAnsiTheme="minorHAnsi" w:cstheme="minorHAnsi"/>
                <w:color w:val="auto"/>
              </w:rPr>
              <w:t>Help to establish new collaborative ways of working including the use of VGCs and MDTs.</w:t>
            </w:r>
          </w:p>
          <w:p w14:paraId="2CEB1381" w14:textId="77777777" w:rsidR="007E1DFD" w:rsidRPr="007E1DFD" w:rsidRDefault="007E1DFD" w:rsidP="007E1DFD">
            <w:pPr>
              <w:pStyle w:val="Default"/>
              <w:numPr>
                <w:ilvl w:val="0"/>
                <w:numId w:val="25"/>
              </w:numPr>
              <w:spacing w:line="276" w:lineRule="auto"/>
              <w:rPr>
                <w:rFonts w:asciiTheme="minorHAnsi" w:hAnsiTheme="minorHAnsi" w:cstheme="minorHAnsi"/>
                <w:color w:val="auto"/>
              </w:rPr>
            </w:pPr>
            <w:r w:rsidRPr="007E1DFD">
              <w:rPr>
                <w:rFonts w:asciiTheme="minorHAnsi" w:hAnsiTheme="minorHAnsi" w:cstheme="minorHAnsi"/>
                <w:color w:val="auto"/>
              </w:rPr>
              <w:t>Work with the PCN team to increase uptake of educational courses for those with diabetes and pre-diabetes, including proactively recruiting and referring through direct patient contact.</w:t>
            </w:r>
          </w:p>
          <w:p w14:paraId="51580CDC" w14:textId="77777777" w:rsidR="007E1DFD" w:rsidRPr="007E1DFD" w:rsidRDefault="007E1DFD" w:rsidP="007E1DFD">
            <w:pPr>
              <w:pStyle w:val="Default"/>
              <w:numPr>
                <w:ilvl w:val="0"/>
                <w:numId w:val="25"/>
              </w:numPr>
              <w:spacing w:after="67" w:line="276" w:lineRule="auto"/>
              <w:rPr>
                <w:rFonts w:asciiTheme="minorHAnsi" w:hAnsiTheme="minorHAnsi" w:cstheme="minorHAnsi"/>
                <w:color w:val="auto"/>
              </w:rPr>
            </w:pPr>
            <w:r w:rsidRPr="007E1DFD">
              <w:rPr>
                <w:rFonts w:asciiTheme="minorHAnsi" w:hAnsiTheme="minorHAnsi" w:cstheme="minorHAnsi"/>
                <w:color w:val="auto"/>
              </w:rPr>
              <w:t>Ensure regular and consistent communication with the referrer regarding patient progress and any complications or guidance.</w:t>
            </w:r>
            <w:r w:rsidRPr="007E1DFD">
              <w:rPr>
                <w:rFonts w:cstheme="minorHAnsi"/>
              </w:rPr>
              <w:tab/>
            </w:r>
          </w:p>
          <w:p w14:paraId="39F246D3" w14:textId="77777777" w:rsidR="007E1DFD" w:rsidRPr="007E1DFD" w:rsidRDefault="007E1DFD" w:rsidP="007E1DFD">
            <w:pPr>
              <w:pStyle w:val="Default"/>
              <w:numPr>
                <w:ilvl w:val="0"/>
                <w:numId w:val="25"/>
              </w:numPr>
              <w:spacing w:after="67" w:line="276" w:lineRule="auto"/>
              <w:rPr>
                <w:rFonts w:asciiTheme="minorHAnsi" w:hAnsiTheme="minorHAnsi" w:cstheme="minorHAnsi"/>
                <w:color w:val="auto"/>
              </w:rPr>
            </w:pPr>
            <w:r w:rsidRPr="007E1DFD">
              <w:rPr>
                <w:rFonts w:asciiTheme="minorHAnsi" w:hAnsiTheme="minorHAnsi" w:cstheme="minorHAnsi"/>
                <w:color w:val="auto"/>
              </w:rPr>
              <w:t xml:space="preserve">Have mechanisms in place to engage with patients who are using the service and their </w:t>
            </w:r>
            <w:proofErr w:type="spellStart"/>
            <w:r w:rsidRPr="007E1DFD">
              <w:rPr>
                <w:rFonts w:asciiTheme="minorHAnsi" w:hAnsiTheme="minorHAnsi" w:cstheme="minorHAnsi"/>
                <w:color w:val="auto"/>
              </w:rPr>
              <w:t>carers</w:t>
            </w:r>
            <w:proofErr w:type="spellEnd"/>
            <w:r w:rsidRPr="007E1DFD">
              <w:rPr>
                <w:rFonts w:asciiTheme="minorHAnsi" w:hAnsiTheme="minorHAnsi" w:cstheme="minorHAnsi"/>
                <w:color w:val="auto"/>
              </w:rPr>
              <w:t>.</w:t>
            </w:r>
          </w:p>
          <w:p w14:paraId="1E93E838" w14:textId="77777777" w:rsidR="007E1DFD" w:rsidRPr="007E1DFD" w:rsidRDefault="007E1DFD" w:rsidP="007E1DFD">
            <w:pPr>
              <w:pStyle w:val="Default"/>
              <w:numPr>
                <w:ilvl w:val="0"/>
                <w:numId w:val="25"/>
              </w:numPr>
              <w:spacing w:line="276" w:lineRule="auto"/>
              <w:rPr>
                <w:rFonts w:asciiTheme="minorHAnsi" w:hAnsiTheme="minorHAnsi" w:cstheme="minorHAnsi"/>
              </w:rPr>
            </w:pPr>
            <w:r w:rsidRPr="007E1DFD">
              <w:rPr>
                <w:rFonts w:asciiTheme="minorHAnsi" w:hAnsiTheme="minorHAnsi" w:cstheme="minorHAnsi"/>
              </w:rPr>
              <w:t xml:space="preserve">Using reflective working and continuous improvement practices work collaboratively with other health and care services to continuously improve, </w:t>
            </w:r>
            <w:proofErr w:type="gramStart"/>
            <w:r w:rsidRPr="007E1DFD">
              <w:rPr>
                <w:rFonts w:asciiTheme="minorHAnsi" w:hAnsiTheme="minorHAnsi" w:cstheme="minorHAnsi"/>
              </w:rPr>
              <w:t>develop</w:t>
            </w:r>
            <w:proofErr w:type="gramEnd"/>
            <w:r w:rsidRPr="007E1DFD">
              <w:rPr>
                <w:rFonts w:asciiTheme="minorHAnsi" w:hAnsiTheme="minorHAnsi" w:cstheme="minorHAnsi"/>
              </w:rPr>
              <w:t xml:space="preserve"> and evolve the service and the patient experience. </w:t>
            </w:r>
          </w:p>
          <w:p w14:paraId="2B405E79" w14:textId="77777777" w:rsidR="007E1DFD" w:rsidRPr="007E1DFD" w:rsidRDefault="007E1DFD" w:rsidP="007E1DFD">
            <w:pPr>
              <w:pStyle w:val="ListParagraph"/>
              <w:numPr>
                <w:ilvl w:val="0"/>
                <w:numId w:val="25"/>
              </w:numPr>
              <w:contextualSpacing w:val="0"/>
              <w:rPr>
                <w:rFonts w:cstheme="minorHAnsi"/>
                <w:sz w:val="24"/>
                <w:szCs w:val="24"/>
              </w:rPr>
            </w:pPr>
            <w:r w:rsidRPr="007E1DFD">
              <w:rPr>
                <w:rFonts w:cstheme="minorHAnsi"/>
                <w:sz w:val="24"/>
                <w:szCs w:val="24"/>
              </w:rPr>
              <w:t>Ensure at all times, service users experience support and contact that is user friendly, accessible, responsive to individual needs, warm and professional.</w:t>
            </w:r>
          </w:p>
          <w:p w14:paraId="5F750F4A" w14:textId="77777777" w:rsidR="007E1DFD" w:rsidRPr="007E1DFD" w:rsidRDefault="007E1DFD" w:rsidP="007E1DFD">
            <w:pPr>
              <w:pStyle w:val="ListParagraph"/>
              <w:numPr>
                <w:ilvl w:val="0"/>
                <w:numId w:val="25"/>
              </w:numPr>
              <w:contextualSpacing w:val="0"/>
              <w:rPr>
                <w:rFonts w:cstheme="minorHAnsi"/>
                <w:sz w:val="24"/>
                <w:szCs w:val="24"/>
              </w:rPr>
            </w:pPr>
            <w:r w:rsidRPr="007E1DFD">
              <w:rPr>
                <w:rFonts w:cstheme="minorHAnsi"/>
                <w:sz w:val="24"/>
                <w:szCs w:val="24"/>
              </w:rPr>
              <w:t xml:space="preserve">Support the PCN to reduce inequalities by targeting cohorts of patients who struggle to </w:t>
            </w:r>
            <w:r w:rsidRPr="007E1DFD">
              <w:rPr>
                <w:rFonts w:cstheme="minorHAnsi"/>
                <w:sz w:val="24"/>
                <w:szCs w:val="24"/>
              </w:rPr>
              <w:lastRenderedPageBreak/>
              <w:t>engage with healthcare services.</w:t>
            </w:r>
          </w:p>
          <w:p w14:paraId="28D860BA" w14:textId="77777777" w:rsidR="007E1DFD" w:rsidRPr="007E1DFD" w:rsidRDefault="007E1DFD" w:rsidP="007E1DFD">
            <w:pPr>
              <w:pStyle w:val="ListParagraph"/>
              <w:numPr>
                <w:ilvl w:val="0"/>
                <w:numId w:val="25"/>
              </w:numPr>
            </w:pPr>
            <w:r w:rsidRPr="007E1DFD">
              <w:rPr>
                <w:sz w:val="24"/>
                <w:szCs w:val="24"/>
              </w:rPr>
              <w:t>Support WFHP to strive for excellence in the delivery of diabetes care through audit and quality improvement activities.</w:t>
            </w:r>
          </w:p>
        </w:tc>
      </w:tr>
      <w:tr w:rsidR="00281DA7" w:rsidRPr="00AB2701" w14:paraId="09DE2E1B" w14:textId="77777777" w:rsidTr="00F9290E">
        <w:tc>
          <w:tcPr>
            <w:tcW w:w="10060" w:type="dxa"/>
            <w:tcBorders>
              <w:top w:val="nil"/>
              <w:left w:val="nil"/>
              <w:bottom w:val="single" w:sz="4" w:space="0" w:color="auto"/>
              <w:right w:val="nil"/>
            </w:tcBorders>
            <w:shd w:val="clear" w:color="auto" w:fill="auto"/>
          </w:tcPr>
          <w:p w14:paraId="7260E280" w14:textId="77777777" w:rsidR="00281DA7" w:rsidRPr="00AB2701" w:rsidRDefault="00281DA7" w:rsidP="00281DA7">
            <w:pPr>
              <w:tabs>
                <w:tab w:val="left" w:pos="2268"/>
              </w:tabs>
              <w:rPr>
                <w:rFonts w:cstheme="minorHAnsi"/>
                <w:b/>
                <w:bCs/>
                <w:color w:val="000000"/>
                <w:sz w:val="24"/>
                <w:szCs w:val="24"/>
                <w:u w:val="single"/>
              </w:rPr>
            </w:pPr>
          </w:p>
        </w:tc>
      </w:tr>
      <w:tr w:rsidR="00854AFF" w14:paraId="79DA0F21" w14:textId="77777777" w:rsidTr="00F9290E">
        <w:tc>
          <w:tcPr>
            <w:tcW w:w="10060" w:type="dxa"/>
            <w:tcBorders>
              <w:top w:val="single" w:sz="4" w:space="0" w:color="auto"/>
            </w:tcBorders>
            <w:shd w:val="clear" w:color="auto" w:fill="A3CEED" w:themeFill="accent6" w:themeFillTint="66"/>
          </w:tcPr>
          <w:p w14:paraId="2B9B80FA"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Confidentiality</w:t>
            </w:r>
          </w:p>
          <w:p w14:paraId="07AFAF05" w14:textId="77777777" w:rsidR="00854AFF" w:rsidRDefault="00854AFF" w:rsidP="00042133">
            <w:pPr>
              <w:jc w:val="center"/>
              <w:rPr>
                <w:rFonts w:cstheme="minorHAnsi"/>
                <w:b/>
                <w:sz w:val="24"/>
                <w:szCs w:val="24"/>
                <w:u w:val="single"/>
              </w:rPr>
            </w:pPr>
          </w:p>
        </w:tc>
      </w:tr>
      <w:tr w:rsidR="00854AFF" w14:paraId="79F57323" w14:textId="77777777" w:rsidTr="00F9290E">
        <w:tc>
          <w:tcPr>
            <w:tcW w:w="10060" w:type="dxa"/>
          </w:tcPr>
          <w:p w14:paraId="3D836DA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7612ABDB"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 xml:space="preserve">In the performance of the duties outlined in this job description, the post-holder may have access to confidential information relating to patients and their </w:t>
            </w:r>
            <w:proofErr w:type="spellStart"/>
            <w:r w:rsidRPr="0089470A">
              <w:rPr>
                <w:rFonts w:cstheme="minorHAnsi"/>
                <w:color w:val="000000"/>
                <w:sz w:val="24"/>
                <w:szCs w:val="24"/>
              </w:rPr>
              <w:t>carers</w:t>
            </w:r>
            <w:proofErr w:type="spellEnd"/>
            <w:r w:rsidRPr="0089470A">
              <w:rPr>
                <w:rFonts w:cstheme="minorHAnsi"/>
                <w:color w:val="000000"/>
                <w:sz w:val="24"/>
                <w:szCs w:val="24"/>
              </w:rPr>
              <w:t>,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557EAFE"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58DEE49E" w14:textId="77777777" w:rsidR="00854AFF" w:rsidRDefault="00854AFF" w:rsidP="00A619EB">
            <w:pPr>
              <w:rPr>
                <w:rFonts w:cstheme="minorHAnsi"/>
                <w:b/>
                <w:sz w:val="24"/>
                <w:szCs w:val="24"/>
                <w:u w:val="single"/>
              </w:rPr>
            </w:pPr>
          </w:p>
        </w:tc>
      </w:tr>
    </w:tbl>
    <w:p w14:paraId="584EFB93" w14:textId="77777777"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582C1F19" w14:textId="77777777" w:rsidTr="00281DA7">
        <w:tc>
          <w:tcPr>
            <w:tcW w:w="10194" w:type="dxa"/>
            <w:shd w:val="clear" w:color="auto" w:fill="A3CEED" w:themeFill="accent6" w:themeFillTint="66"/>
          </w:tcPr>
          <w:p w14:paraId="69162BF6"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12A17C59" w14:textId="77777777" w:rsidR="00854AFF" w:rsidRDefault="00854AFF" w:rsidP="00042133">
            <w:pPr>
              <w:jc w:val="center"/>
              <w:rPr>
                <w:rFonts w:cstheme="minorHAnsi"/>
                <w:b/>
                <w:sz w:val="24"/>
                <w:szCs w:val="24"/>
                <w:u w:val="single"/>
              </w:rPr>
            </w:pPr>
          </w:p>
        </w:tc>
      </w:tr>
      <w:tr w:rsidR="00854AFF" w14:paraId="3D57C928" w14:textId="77777777" w:rsidTr="00281DA7">
        <w:tc>
          <w:tcPr>
            <w:tcW w:w="10194" w:type="dxa"/>
          </w:tcPr>
          <w:p w14:paraId="2FB1E7D6"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5717C9D8" w14:textId="77777777" w:rsidR="00042133" w:rsidRPr="0089470A" w:rsidRDefault="00042133" w:rsidP="00854AFF">
            <w:pPr>
              <w:tabs>
                <w:tab w:val="left" w:pos="2268"/>
              </w:tabs>
              <w:jc w:val="both"/>
              <w:rPr>
                <w:rFonts w:cstheme="minorHAnsi"/>
                <w:color w:val="000000"/>
                <w:sz w:val="24"/>
                <w:szCs w:val="24"/>
              </w:rPr>
            </w:pPr>
          </w:p>
          <w:p w14:paraId="46A739C9"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1860B774"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516A92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0716C9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1A609ADB"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0721728B"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2933F934"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49EC12A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t>
            </w:r>
            <w:r w:rsidRPr="0089470A">
              <w:rPr>
                <w:rFonts w:cstheme="minorHAnsi"/>
                <w:color w:val="000000"/>
                <w:sz w:val="24"/>
                <w:szCs w:val="24"/>
              </w:rPr>
              <w:lastRenderedPageBreak/>
              <w:t xml:space="preserve">(where appropriate) with other sector managers </w:t>
            </w:r>
          </w:p>
          <w:p w14:paraId="009448D5"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Routine management of own team / team areas, and maintenance of work space standards</w:t>
            </w:r>
          </w:p>
          <w:p w14:paraId="53BAB8FE" w14:textId="77777777" w:rsidR="00854AFF" w:rsidRDefault="00854AFF" w:rsidP="00691A54">
            <w:pPr>
              <w:rPr>
                <w:rFonts w:cstheme="minorHAnsi"/>
                <w:b/>
                <w:sz w:val="24"/>
                <w:szCs w:val="24"/>
                <w:u w:val="single"/>
              </w:rPr>
            </w:pPr>
          </w:p>
        </w:tc>
      </w:tr>
      <w:tr w:rsidR="00132115" w14:paraId="108C6A80" w14:textId="77777777" w:rsidTr="00336AF7">
        <w:tc>
          <w:tcPr>
            <w:tcW w:w="10194" w:type="dxa"/>
            <w:shd w:val="clear" w:color="auto" w:fill="A3CEED" w:themeFill="accent6" w:themeFillTint="66"/>
          </w:tcPr>
          <w:p w14:paraId="6BCCE383"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lastRenderedPageBreak/>
              <w:t>Equality and Diversity</w:t>
            </w:r>
          </w:p>
          <w:p w14:paraId="2E410C95" w14:textId="77777777" w:rsidR="00132115" w:rsidRDefault="00132115" w:rsidP="00042133">
            <w:pPr>
              <w:tabs>
                <w:tab w:val="left" w:pos="2268"/>
              </w:tabs>
              <w:jc w:val="center"/>
              <w:rPr>
                <w:rFonts w:cstheme="minorHAnsi"/>
                <w:color w:val="000000"/>
                <w:sz w:val="24"/>
                <w:szCs w:val="24"/>
              </w:rPr>
            </w:pPr>
          </w:p>
        </w:tc>
      </w:tr>
      <w:tr w:rsidR="00132115" w14:paraId="4B057AAF" w14:textId="77777777" w:rsidTr="00336AF7">
        <w:tc>
          <w:tcPr>
            <w:tcW w:w="10194" w:type="dxa"/>
          </w:tcPr>
          <w:p w14:paraId="75DE7714"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t>The post-holder will support the equality, diversity and rights of patients, carers and colleagues, to include:</w:t>
            </w:r>
          </w:p>
          <w:p w14:paraId="728B3E8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62EA185B"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Respecting the privacy, dignity, needs and beliefs of patients, carers and colleagues</w:t>
            </w:r>
          </w:p>
          <w:p w14:paraId="49B5432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p w14:paraId="49DD54A8" w14:textId="77777777" w:rsidR="00132115" w:rsidRDefault="00132115" w:rsidP="00A619EB">
            <w:pPr>
              <w:tabs>
                <w:tab w:val="left" w:pos="2268"/>
              </w:tabs>
              <w:jc w:val="both"/>
              <w:rPr>
                <w:rFonts w:cstheme="minorHAnsi"/>
                <w:color w:val="000000"/>
                <w:sz w:val="24"/>
                <w:szCs w:val="24"/>
              </w:rPr>
            </w:pPr>
          </w:p>
        </w:tc>
      </w:tr>
    </w:tbl>
    <w:p w14:paraId="2C407A9F" w14:textId="77777777" w:rsidR="007328F7" w:rsidRPr="0089470A" w:rsidRDefault="007328F7" w:rsidP="00A619EB">
      <w:pPr>
        <w:pStyle w:val="ListParagraph"/>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420"/>
      </w:tblGrid>
      <w:tr w:rsidR="0026559F" w14:paraId="3664B00E" w14:textId="77777777" w:rsidTr="00042133">
        <w:tc>
          <w:tcPr>
            <w:tcW w:w="10420" w:type="dxa"/>
            <w:shd w:val="clear" w:color="auto" w:fill="A3CEED" w:themeFill="accent6" w:themeFillTint="66"/>
          </w:tcPr>
          <w:p w14:paraId="40ACE095"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43307E28" w14:textId="77777777" w:rsidR="0026559F" w:rsidRDefault="0026559F" w:rsidP="00042133">
            <w:pPr>
              <w:jc w:val="center"/>
              <w:rPr>
                <w:rFonts w:cstheme="minorHAnsi"/>
                <w:color w:val="000000"/>
                <w:sz w:val="24"/>
                <w:szCs w:val="24"/>
              </w:rPr>
            </w:pPr>
          </w:p>
        </w:tc>
      </w:tr>
      <w:tr w:rsidR="0026559F" w14:paraId="30891020" w14:textId="77777777" w:rsidTr="0026559F">
        <w:tc>
          <w:tcPr>
            <w:tcW w:w="10420" w:type="dxa"/>
          </w:tcPr>
          <w:p w14:paraId="4FC2D5A9"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008BA6AA"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Participation in an annual individual performance review, including taking responsibility for maintaining a record of own personal and/or professional development</w:t>
            </w:r>
          </w:p>
          <w:p w14:paraId="08857B50"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p w14:paraId="03D85E58" w14:textId="77777777" w:rsidR="0026559F" w:rsidRPr="0089470A" w:rsidRDefault="0026559F" w:rsidP="0026559F">
            <w:pPr>
              <w:ind w:left="720"/>
              <w:jc w:val="both"/>
              <w:rPr>
                <w:rFonts w:cstheme="minorHAnsi"/>
                <w:color w:val="000000"/>
                <w:sz w:val="24"/>
                <w:szCs w:val="24"/>
                <w:u w:val="single"/>
              </w:rPr>
            </w:pPr>
          </w:p>
          <w:p w14:paraId="1EA81061" w14:textId="77777777" w:rsidR="0026559F" w:rsidRDefault="0026559F" w:rsidP="0026559F">
            <w:pPr>
              <w:jc w:val="both"/>
              <w:rPr>
                <w:rFonts w:cstheme="minorHAnsi"/>
                <w:color w:val="000000"/>
                <w:sz w:val="24"/>
                <w:szCs w:val="24"/>
              </w:rPr>
            </w:pPr>
          </w:p>
        </w:tc>
      </w:tr>
    </w:tbl>
    <w:p w14:paraId="153C6445" w14:textId="77777777" w:rsidR="00A619EB" w:rsidRDefault="00A619EB"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2C4B985B" w14:textId="77777777" w:rsidTr="00336AF7">
        <w:tc>
          <w:tcPr>
            <w:tcW w:w="10194" w:type="dxa"/>
            <w:shd w:val="clear" w:color="auto" w:fill="A3CEED" w:themeFill="accent6" w:themeFillTint="66"/>
          </w:tcPr>
          <w:p w14:paraId="48DF7595"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3FAEB467" w14:textId="77777777" w:rsidR="009040D2" w:rsidRDefault="009040D2" w:rsidP="00042133">
            <w:pPr>
              <w:jc w:val="center"/>
              <w:rPr>
                <w:rFonts w:cstheme="minorHAnsi"/>
                <w:color w:val="000000"/>
                <w:sz w:val="24"/>
                <w:szCs w:val="24"/>
              </w:rPr>
            </w:pPr>
          </w:p>
        </w:tc>
      </w:tr>
      <w:tr w:rsidR="009040D2" w14:paraId="48CBDAF5" w14:textId="77777777" w:rsidTr="00336AF7">
        <w:tc>
          <w:tcPr>
            <w:tcW w:w="10194" w:type="dxa"/>
          </w:tcPr>
          <w:p w14:paraId="6B2092BA"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5BA9E833"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203DC578"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7CCD575E"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6C9DBBFD"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7A41C913"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Effectively manage own time, workload and resources</w:t>
            </w:r>
          </w:p>
        </w:tc>
      </w:tr>
    </w:tbl>
    <w:p w14:paraId="4F9BC8FD"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420"/>
      </w:tblGrid>
      <w:tr w:rsidR="00023D34" w14:paraId="5AEA7A72" w14:textId="77777777" w:rsidTr="00042133">
        <w:tc>
          <w:tcPr>
            <w:tcW w:w="10420" w:type="dxa"/>
            <w:shd w:val="clear" w:color="auto" w:fill="A3CEED" w:themeFill="accent6" w:themeFillTint="66"/>
          </w:tcPr>
          <w:p w14:paraId="267A5F8A"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3FAFEB81" w14:textId="77777777" w:rsidR="00023D34" w:rsidRDefault="00023D34" w:rsidP="00042133">
            <w:pPr>
              <w:jc w:val="center"/>
              <w:rPr>
                <w:rFonts w:cstheme="minorHAnsi"/>
                <w:color w:val="000000"/>
                <w:sz w:val="24"/>
                <w:szCs w:val="24"/>
              </w:rPr>
            </w:pPr>
          </w:p>
        </w:tc>
      </w:tr>
      <w:tr w:rsidR="00023D34" w14:paraId="0CD2A106" w14:textId="77777777" w:rsidTr="00023D34">
        <w:tc>
          <w:tcPr>
            <w:tcW w:w="10420" w:type="dxa"/>
          </w:tcPr>
          <w:p w14:paraId="7068454C"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6B37654D"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47361C01"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01DD34E6"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1E430990" w14:textId="77777777" w:rsidR="00023D34" w:rsidRDefault="00023D34" w:rsidP="005C5315">
            <w:pPr>
              <w:jc w:val="both"/>
              <w:rPr>
                <w:rFonts w:cstheme="minorHAnsi"/>
                <w:color w:val="000000"/>
                <w:sz w:val="24"/>
                <w:szCs w:val="24"/>
              </w:rPr>
            </w:pPr>
          </w:p>
        </w:tc>
      </w:tr>
    </w:tbl>
    <w:p w14:paraId="07782725" w14:textId="77777777" w:rsidR="005C5315" w:rsidRDefault="005C5315" w:rsidP="005C5315">
      <w:pPr>
        <w:spacing w:after="0" w:line="240" w:lineRule="auto"/>
        <w:jc w:val="both"/>
        <w:rPr>
          <w:rFonts w:cstheme="minorHAnsi"/>
          <w:color w:val="000000"/>
          <w:sz w:val="24"/>
          <w:szCs w:val="24"/>
        </w:rPr>
      </w:pPr>
    </w:p>
    <w:p w14:paraId="27826041" w14:textId="77777777" w:rsidR="00336AF7" w:rsidRDefault="00336AF7" w:rsidP="005C5315">
      <w:pPr>
        <w:spacing w:after="0" w:line="240" w:lineRule="auto"/>
        <w:jc w:val="both"/>
        <w:rPr>
          <w:rFonts w:cstheme="minorHAnsi"/>
          <w:color w:val="000000"/>
          <w:sz w:val="24"/>
          <w:szCs w:val="24"/>
        </w:rPr>
      </w:pPr>
    </w:p>
    <w:p w14:paraId="4FB35EBA" w14:textId="77777777" w:rsidR="00196375" w:rsidRPr="0089470A" w:rsidRDefault="00196375" w:rsidP="005C5315">
      <w:pPr>
        <w:spacing w:after="0" w:line="240" w:lineRule="auto"/>
        <w:jc w:val="both"/>
        <w:rPr>
          <w:rFonts w:cstheme="minorHAnsi"/>
          <w:color w:val="000000"/>
          <w:sz w:val="24"/>
          <w:szCs w:val="24"/>
        </w:rPr>
      </w:pPr>
    </w:p>
    <w:p w14:paraId="2F45D97E"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420"/>
      </w:tblGrid>
      <w:tr w:rsidR="00BC7775" w:rsidRPr="00BC7775" w14:paraId="6412E0A1" w14:textId="77777777" w:rsidTr="00850EC5">
        <w:tc>
          <w:tcPr>
            <w:tcW w:w="10420" w:type="dxa"/>
            <w:shd w:val="clear" w:color="auto" w:fill="A3CEED" w:themeFill="accent6" w:themeFillTint="66"/>
          </w:tcPr>
          <w:p w14:paraId="25B57B09"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3E3DCDF4" w14:textId="77777777" w:rsidR="00BC7775" w:rsidRPr="00BC7775" w:rsidRDefault="00BC7775" w:rsidP="00BC7775">
            <w:pPr>
              <w:jc w:val="center"/>
              <w:rPr>
                <w:rFonts w:cstheme="minorHAnsi"/>
                <w:color w:val="000000"/>
                <w:sz w:val="24"/>
                <w:szCs w:val="24"/>
                <w:u w:val="single"/>
              </w:rPr>
            </w:pPr>
          </w:p>
        </w:tc>
      </w:tr>
      <w:tr w:rsidR="00BC7775" w14:paraId="3851A964" w14:textId="77777777" w:rsidTr="00850EC5">
        <w:tc>
          <w:tcPr>
            <w:tcW w:w="10420" w:type="dxa"/>
          </w:tcPr>
          <w:p w14:paraId="43407C45"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1BEC3F9B"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Apply practice policies, standards and guidance</w:t>
            </w:r>
          </w:p>
          <w:p w14:paraId="5150DD4C"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26468B19"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7B52F36D" w14:textId="77777777" w:rsidR="00BC7775" w:rsidRDefault="00BC7775" w:rsidP="00850EC5">
            <w:pPr>
              <w:jc w:val="both"/>
              <w:rPr>
                <w:rFonts w:cstheme="minorHAnsi"/>
                <w:color w:val="000000"/>
                <w:sz w:val="24"/>
                <w:szCs w:val="24"/>
              </w:rPr>
            </w:pPr>
          </w:p>
        </w:tc>
      </w:tr>
    </w:tbl>
    <w:p w14:paraId="2FDC207E" w14:textId="77777777" w:rsidR="00BC7775" w:rsidRDefault="00BC7775" w:rsidP="00893ECB">
      <w:pPr>
        <w:pStyle w:val="NoSpacing"/>
        <w:jc w:val="center"/>
        <w:rPr>
          <w:b/>
          <w:sz w:val="28"/>
          <w:szCs w:val="28"/>
          <w:u w:val="single"/>
        </w:rPr>
      </w:pPr>
    </w:p>
    <w:p w14:paraId="2AD76056" w14:textId="77777777" w:rsidR="00BC7775" w:rsidRDefault="00BC7775" w:rsidP="00893ECB">
      <w:pPr>
        <w:pStyle w:val="NoSpacing"/>
        <w:jc w:val="center"/>
        <w:rPr>
          <w:b/>
          <w:sz w:val="28"/>
          <w:szCs w:val="28"/>
          <w:u w:val="single"/>
        </w:rPr>
      </w:pPr>
    </w:p>
    <w:sectPr w:rsidR="00BC7775"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8876" w14:textId="77777777" w:rsidR="00531119" w:rsidRDefault="00531119" w:rsidP="00A34EB9">
      <w:pPr>
        <w:spacing w:after="0" w:line="240" w:lineRule="auto"/>
      </w:pPr>
      <w:r>
        <w:separator/>
      </w:r>
    </w:p>
  </w:endnote>
  <w:endnote w:type="continuationSeparator" w:id="0">
    <w:p w14:paraId="3F3BB271" w14:textId="77777777" w:rsidR="00531119" w:rsidRDefault="00531119"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4732"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35FC3AD1" wp14:editId="2869476F">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69E62931" wp14:editId="3DC71BA9">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105242A0"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7F90" w14:textId="77777777" w:rsidR="00531119" w:rsidRDefault="00531119" w:rsidP="00A34EB9">
      <w:pPr>
        <w:spacing w:after="0" w:line="240" w:lineRule="auto"/>
      </w:pPr>
      <w:r>
        <w:separator/>
      </w:r>
    </w:p>
  </w:footnote>
  <w:footnote w:type="continuationSeparator" w:id="0">
    <w:p w14:paraId="1A236A72" w14:textId="77777777" w:rsidR="00531119" w:rsidRDefault="00531119"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A49"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17065215" wp14:editId="68879F6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20C8CCB2"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52618AE6"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031A8947"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2C11159A"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26768041"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8391AB2"/>
    <w:multiLevelType w:val="hybridMultilevel"/>
    <w:tmpl w:val="7F82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3726"/>
    <w:multiLevelType w:val="hybridMultilevel"/>
    <w:tmpl w:val="BD4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40277"/>
    <w:multiLevelType w:val="hybridMultilevel"/>
    <w:tmpl w:val="749E2B20"/>
    <w:lvl w:ilvl="0" w:tplc="71A68EA0">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2F1"/>
    <w:multiLevelType w:val="hybridMultilevel"/>
    <w:tmpl w:val="D8B4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FE2847"/>
    <w:multiLevelType w:val="hybridMultilevel"/>
    <w:tmpl w:val="B2D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D2E12"/>
    <w:multiLevelType w:val="hybridMultilevel"/>
    <w:tmpl w:val="0B620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77E7"/>
    <w:multiLevelType w:val="hybridMultilevel"/>
    <w:tmpl w:val="B652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C33A8"/>
    <w:multiLevelType w:val="hybridMultilevel"/>
    <w:tmpl w:val="CA887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7D462B"/>
    <w:multiLevelType w:val="hybridMultilevel"/>
    <w:tmpl w:val="D9EC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23993"/>
    <w:multiLevelType w:val="hybridMultilevel"/>
    <w:tmpl w:val="E78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2827"/>
    <w:multiLevelType w:val="hybridMultilevel"/>
    <w:tmpl w:val="59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33474"/>
    <w:multiLevelType w:val="hybridMultilevel"/>
    <w:tmpl w:val="14F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A2C78"/>
    <w:multiLevelType w:val="hybridMultilevel"/>
    <w:tmpl w:val="6CD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2"/>
  </w:num>
  <w:num w:numId="5">
    <w:abstractNumId w:val="11"/>
  </w:num>
  <w:num w:numId="6">
    <w:abstractNumId w:val="20"/>
  </w:num>
  <w:num w:numId="7">
    <w:abstractNumId w:val="4"/>
  </w:num>
  <w:num w:numId="8">
    <w:abstractNumId w:val="6"/>
  </w:num>
  <w:num w:numId="9">
    <w:abstractNumId w:val="24"/>
  </w:num>
  <w:num w:numId="10">
    <w:abstractNumId w:val="16"/>
  </w:num>
  <w:num w:numId="11">
    <w:abstractNumId w:val="7"/>
  </w:num>
  <w:num w:numId="12">
    <w:abstractNumId w:val="3"/>
  </w:num>
  <w:num w:numId="13">
    <w:abstractNumId w:val="14"/>
  </w:num>
  <w:num w:numId="14">
    <w:abstractNumId w:val="8"/>
  </w:num>
  <w:num w:numId="15">
    <w:abstractNumId w:val="22"/>
  </w:num>
  <w:num w:numId="16">
    <w:abstractNumId w:val="21"/>
  </w:num>
  <w:num w:numId="17">
    <w:abstractNumId w:val="15"/>
  </w:num>
  <w:num w:numId="18">
    <w:abstractNumId w:val="1"/>
  </w:num>
  <w:num w:numId="19">
    <w:abstractNumId w:val="19"/>
  </w:num>
  <w:num w:numId="20">
    <w:abstractNumId w:val="18"/>
  </w:num>
  <w:num w:numId="21">
    <w:abstractNumId w:val="13"/>
  </w:num>
  <w:num w:numId="22">
    <w:abstractNumId w:val="9"/>
  </w:num>
  <w:num w:numId="23">
    <w:abstractNumId w:val="17"/>
  </w:num>
  <w:num w:numId="24">
    <w:abstractNumId w:val="23"/>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FD3"/>
    <w:rsid w:val="000123E4"/>
    <w:rsid w:val="00015035"/>
    <w:rsid w:val="00022832"/>
    <w:rsid w:val="00023D34"/>
    <w:rsid w:val="00042133"/>
    <w:rsid w:val="00051468"/>
    <w:rsid w:val="00061E63"/>
    <w:rsid w:val="00091A40"/>
    <w:rsid w:val="000A567A"/>
    <w:rsid w:val="000B1902"/>
    <w:rsid w:val="000D4078"/>
    <w:rsid w:val="000E3FBE"/>
    <w:rsid w:val="0011678F"/>
    <w:rsid w:val="001214F0"/>
    <w:rsid w:val="00122E73"/>
    <w:rsid w:val="00132115"/>
    <w:rsid w:val="00196375"/>
    <w:rsid w:val="001A282A"/>
    <w:rsid w:val="001B2004"/>
    <w:rsid w:val="001C6B20"/>
    <w:rsid w:val="001D4374"/>
    <w:rsid w:val="002049F4"/>
    <w:rsid w:val="00234671"/>
    <w:rsid w:val="00235B51"/>
    <w:rsid w:val="002375E1"/>
    <w:rsid w:val="00240BCD"/>
    <w:rsid w:val="00247902"/>
    <w:rsid w:val="0026559F"/>
    <w:rsid w:val="00281DA7"/>
    <w:rsid w:val="002A2CCC"/>
    <w:rsid w:val="002C4590"/>
    <w:rsid w:val="002D2FD3"/>
    <w:rsid w:val="00336AF7"/>
    <w:rsid w:val="003503C5"/>
    <w:rsid w:val="003643FC"/>
    <w:rsid w:val="003853C4"/>
    <w:rsid w:val="003B30B3"/>
    <w:rsid w:val="003E533D"/>
    <w:rsid w:val="003E6D52"/>
    <w:rsid w:val="004109D6"/>
    <w:rsid w:val="004258B9"/>
    <w:rsid w:val="004657AA"/>
    <w:rsid w:val="00474F4C"/>
    <w:rsid w:val="004B0259"/>
    <w:rsid w:val="004D720F"/>
    <w:rsid w:val="004F7417"/>
    <w:rsid w:val="00531119"/>
    <w:rsid w:val="005432DE"/>
    <w:rsid w:val="0055017A"/>
    <w:rsid w:val="00566451"/>
    <w:rsid w:val="0057096E"/>
    <w:rsid w:val="00580487"/>
    <w:rsid w:val="005834B4"/>
    <w:rsid w:val="00585045"/>
    <w:rsid w:val="00594F59"/>
    <w:rsid w:val="00595C26"/>
    <w:rsid w:val="005C0204"/>
    <w:rsid w:val="005C5315"/>
    <w:rsid w:val="005D0AB0"/>
    <w:rsid w:val="005D2AA2"/>
    <w:rsid w:val="005D508A"/>
    <w:rsid w:val="005E053F"/>
    <w:rsid w:val="005E1A4C"/>
    <w:rsid w:val="005F228A"/>
    <w:rsid w:val="005F4F3C"/>
    <w:rsid w:val="00607A54"/>
    <w:rsid w:val="00617088"/>
    <w:rsid w:val="006369F6"/>
    <w:rsid w:val="00641CE4"/>
    <w:rsid w:val="0065192A"/>
    <w:rsid w:val="00657EB3"/>
    <w:rsid w:val="00662BF6"/>
    <w:rsid w:val="0066485F"/>
    <w:rsid w:val="00693561"/>
    <w:rsid w:val="006C5196"/>
    <w:rsid w:val="006D4CA3"/>
    <w:rsid w:val="006E2B0A"/>
    <w:rsid w:val="006E4F33"/>
    <w:rsid w:val="006F4FE9"/>
    <w:rsid w:val="006F68B2"/>
    <w:rsid w:val="00702162"/>
    <w:rsid w:val="007277D7"/>
    <w:rsid w:val="007306F1"/>
    <w:rsid w:val="007328F7"/>
    <w:rsid w:val="00733509"/>
    <w:rsid w:val="00755A01"/>
    <w:rsid w:val="00764CF7"/>
    <w:rsid w:val="00782203"/>
    <w:rsid w:val="007A0EC8"/>
    <w:rsid w:val="007B4852"/>
    <w:rsid w:val="007D3D3B"/>
    <w:rsid w:val="007D5B44"/>
    <w:rsid w:val="007D66BD"/>
    <w:rsid w:val="007E1DFD"/>
    <w:rsid w:val="007F6816"/>
    <w:rsid w:val="007F69AB"/>
    <w:rsid w:val="00807ED4"/>
    <w:rsid w:val="008232C3"/>
    <w:rsid w:val="00854AFF"/>
    <w:rsid w:val="0086346A"/>
    <w:rsid w:val="00873BF0"/>
    <w:rsid w:val="008909E7"/>
    <w:rsid w:val="00893ECB"/>
    <w:rsid w:val="0089470A"/>
    <w:rsid w:val="008A1F6E"/>
    <w:rsid w:val="008C4A3F"/>
    <w:rsid w:val="008D48F3"/>
    <w:rsid w:val="008E0EC1"/>
    <w:rsid w:val="008E4CBE"/>
    <w:rsid w:val="009040D2"/>
    <w:rsid w:val="00914CB9"/>
    <w:rsid w:val="00942354"/>
    <w:rsid w:val="00951517"/>
    <w:rsid w:val="00956F2E"/>
    <w:rsid w:val="009949FA"/>
    <w:rsid w:val="009B6362"/>
    <w:rsid w:val="00A24696"/>
    <w:rsid w:val="00A34EB9"/>
    <w:rsid w:val="00A40F62"/>
    <w:rsid w:val="00A529EB"/>
    <w:rsid w:val="00A56A5C"/>
    <w:rsid w:val="00A619EB"/>
    <w:rsid w:val="00A64D90"/>
    <w:rsid w:val="00A70BCA"/>
    <w:rsid w:val="00A762CD"/>
    <w:rsid w:val="00A76F58"/>
    <w:rsid w:val="00A8415A"/>
    <w:rsid w:val="00A96D90"/>
    <w:rsid w:val="00AB2701"/>
    <w:rsid w:val="00AD4B40"/>
    <w:rsid w:val="00B05050"/>
    <w:rsid w:val="00B26E44"/>
    <w:rsid w:val="00B32E70"/>
    <w:rsid w:val="00BC7775"/>
    <w:rsid w:val="00BD3776"/>
    <w:rsid w:val="00BE1739"/>
    <w:rsid w:val="00C4187D"/>
    <w:rsid w:val="00C569BC"/>
    <w:rsid w:val="00C62626"/>
    <w:rsid w:val="00C87AE1"/>
    <w:rsid w:val="00CA3BC7"/>
    <w:rsid w:val="00CB0B35"/>
    <w:rsid w:val="00CD2164"/>
    <w:rsid w:val="00CD31A6"/>
    <w:rsid w:val="00D0753F"/>
    <w:rsid w:val="00D42A1C"/>
    <w:rsid w:val="00DB5515"/>
    <w:rsid w:val="00DD5F4F"/>
    <w:rsid w:val="00DD6678"/>
    <w:rsid w:val="00E118F1"/>
    <w:rsid w:val="00E336B5"/>
    <w:rsid w:val="00E410E3"/>
    <w:rsid w:val="00E92506"/>
    <w:rsid w:val="00EB4777"/>
    <w:rsid w:val="00EB626E"/>
    <w:rsid w:val="00EB65DB"/>
    <w:rsid w:val="00EE5702"/>
    <w:rsid w:val="00F01C94"/>
    <w:rsid w:val="00F048B0"/>
    <w:rsid w:val="00F12CFB"/>
    <w:rsid w:val="00F14A07"/>
    <w:rsid w:val="00F30D2E"/>
    <w:rsid w:val="00F518A9"/>
    <w:rsid w:val="00F56A37"/>
    <w:rsid w:val="00F67B86"/>
    <w:rsid w:val="00F9290E"/>
    <w:rsid w:val="00F93540"/>
    <w:rsid w:val="00FB0FE9"/>
    <w:rsid w:val="00FD2B0A"/>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61E50"/>
  <w15:docId w15:val="{3474804B-8C73-448A-A7BF-FD458AAA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10"/>
    <w:rsid w:val="00EB65DB"/>
    <w:rPr>
      <w:rFonts w:ascii="Arial" w:eastAsia="Times New Roman" w:hAnsi="Arial" w:cs="Arial"/>
      <w:b/>
      <w:bCs/>
    </w:rPr>
  </w:style>
  <w:style w:type="paragraph" w:styleId="ListParagraph">
    <w:name w:val="List Paragraph"/>
    <w:basedOn w:val="Normal"/>
    <w:link w:val="ListParagraphChar"/>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styleId="NormalWeb">
    <w:name w:val="Normal (Web)"/>
    <w:basedOn w:val="Normal"/>
    <w:uiPriority w:val="99"/>
    <w:semiHidden/>
    <w:unhideWhenUsed/>
    <w:rsid w:val="005F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1DF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ListParagraphChar">
    <w:name w:val="List Paragraph Char"/>
    <w:basedOn w:val="DefaultParagraphFont"/>
    <w:link w:val="ListParagraph"/>
    <w:uiPriority w:val="34"/>
    <w:rsid w:val="007E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559366148">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988218109">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08A7-C3C3-4459-A799-FFD11F3C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Shepherd</dc:creator>
  <cp:lastModifiedBy>CARTER, Julie (BEWDLEY MEDICAL CENTRE)</cp:lastModifiedBy>
  <cp:revision>2</cp:revision>
  <cp:lastPrinted>2018-05-31T11:41:00Z</cp:lastPrinted>
  <dcterms:created xsi:type="dcterms:W3CDTF">2022-04-25T12:15:00Z</dcterms:created>
  <dcterms:modified xsi:type="dcterms:W3CDTF">2022-04-25T12:15:00Z</dcterms:modified>
</cp:coreProperties>
</file>